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r>
        <w:rPr>
          <w:rFonts w:hint="eastAsia" w:ascii="宋体" w:hAnsi="宋体" w:eastAsia="宋体" w:cs="Times New Roman"/>
          <w:b/>
          <w:sz w:val="44"/>
          <w:szCs w:val="44"/>
          <w:lang w:eastAsia="zh-CN"/>
        </w:rPr>
        <w:t>临潭县</w:t>
      </w:r>
      <w:r>
        <w:rPr>
          <w:rFonts w:hint="eastAsia" w:ascii="宋体" w:hAnsi="宋体" w:eastAsia="宋体" w:cs="Times New Roman"/>
          <w:b/>
          <w:sz w:val="44"/>
          <w:szCs w:val="44"/>
        </w:rPr>
        <w:t>各级各部门</w:t>
      </w:r>
      <w:r>
        <w:rPr>
          <w:rFonts w:hint="eastAsia" w:ascii="宋体" w:hAnsi="宋体" w:eastAsia="宋体" w:cs="Times New Roman"/>
          <w:b/>
          <w:sz w:val="44"/>
          <w:szCs w:val="44"/>
          <w:lang w:eastAsia="zh-CN"/>
        </w:rPr>
        <w:t>拟取消</w:t>
      </w:r>
      <w:r>
        <w:rPr>
          <w:rFonts w:hint="eastAsia" w:ascii="宋体" w:hAnsi="宋体" w:eastAsia="宋体" w:cs="Times New Roman"/>
          <w:b/>
          <w:sz w:val="44"/>
          <w:szCs w:val="44"/>
        </w:rPr>
        <w:t>证明事项</w:t>
      </w:r>
      <w:r>
        <w:rPr>
          <w:rFonts w:hint="eastAsia" w:ascii="宋体" w:hAnsi="宋体" w:eastAsia="宋体" w:cs="Times New Roman"/>
          <w:b/>
          <w:sz w:val="44"/>
          <w:szCs w:val="44"/>
          <w:lang w:eastAsia="zh-CN"/>
        </w:rPr>
        <w:t>汇总</w:t>
      </w:r>
      <w:r>
        <w:rPr>
          <w:rFonts w:hint="eastAsia" w:ascii="宋体" w:hAnsi="宋体" w:eastAsia="宋体" w:cs="Times New Roman"/>
          <w:b/>
          <w:sz w:val="44"/>
          <w:szCs w:val="44"/>
        </w:rPr>
        <w:t>表</w:t>
      </w:r>
    </w:p>
    <w:p>
      <w:pPr>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单位（盖章）：</w:t>
      </w:r>
      <w:r>
        <w:rPr>
          <w:rFonts w:hint="eastAsia" w:ascii="仿宋" w:hAnsi="仿宋" w:eastAsia="仿宋" w:cs="Times New Roman"/>
          <w:sz w:val="32"/>
          <w:szCs w:val="32"/>
          <w:lang w:eastAsia="zh-CN"/>
        </w:rPr>
        <w:t>临潭县司法局</w:t>
      </w: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填表人 ：</w:t>
      </w:r>
      <w:r>
        <w:rPr>
          <w:rFonts w:hint="eastAsia" w:ascii="仿宋" w:hAnsi="仿宋" w:eastAsia="仿宋" w:cs="Times New Roman"/>
          <w:sz w:val="32"/>
          <w:szCs w:val="32"/>
          <w:lang w:eastAsia="zh-CN"/>
        </w:rPr>
        <w:t>郭晓乐</w:t>
      </w:r>
      <w:r>
        <w:rPr>
          <w:rFonts w:hint="eastAsia" w:ascii="仿宋" w:hAnsi="仿宋" w:eastAsia="仿宋" w:cs="Times New Roman"/>
          <w:sz w:val="32"/>
          <w:szCs w:val="32"/>
        </w:rPr>
        <w:t xml:space="preserve">      电话：</w:t>
      </w:r>
      <w:r>
        <w:rPr>
          <w:rFonts w:hint="eastAsia" w:ascii="仿宋" w:hAnsi="仿宋" w:eastAsia="仿宋" w:cs="Times New Roman"/>
          <w:sz w:val="32"/>
          <w:szCs w:val="32"/>
          <w:lang w:val="en-US" w:eastAsia="zh-CN"/>
        </w:rPr>
        <w:t>0941-3121654</w:t>
      </w:r>
    </w:p>
    <w:tbl>
      <w:tblPr>
        <w:tblStyle w:val="5"/>
        <w:tblW w:w="140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64"/>
        <w:gridCol w:w="1744"/>
        <w:gridCol w:w="2266"/>
        <w:gridCol w:w="9"/>
        <w:gridCol w:w="1036"/>
        <w:gridCol w:w="1047"/>
        <w:gridCol w:w="871"/>
        <w:gridCol w:w="872"/>
        <w:gridCol w:w="525"/>
        <w:gridCol w:w="524"/>
        <w:gridCol w:w="348"/>
        <w:gridCol w:w="911"/>
        <w:gridCol w:w="978"/>
        <w:gridCol w:w="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545" w:hRule="atLeast"/>
        </w:trPr>
        <w:tc>
          <w:tcPr>
            <w:tcW w:w="654" w:type="dxa"/>
            <w:vMerge w:val="restart"/>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264" w:type="dxa"/>
            <w:vMerge w:val="restar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b/>
                <w:sz w:val="21"/>
                <w:szCs w:val="21"/>
              </w:rPr>
              <w:t>证明事项名称</w:t>
            </w:r>
          </w:p>
        </w:tc>
        <w:tc>
          <w:tcPr>
            <w:tcW w:w="1744" w:type="dxa"/>
            <w:vMerge w:val="restart"/>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证明用途</w:t>
            </w:r>
          </w:p>
        </w:tc>
        <w:tc>
          <w:tcPr>
            <w:tcW w:w="2275" w:type="dxa"/>
            <w:gridSpan w:val="2"/>
            <w:vMerge w:val="restart"/>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设定依据</w:t>
            </w:r>
          </w:p>
          <w:p>
            <w:pPr>
              <w:jc w:val="center"/>
              <w:rPr>
                <w:rFonts w:hint="eastAsia" w:ascii="仿宋" w:hAnsi="仿宋" w:eastAsia="仿宋" w:cs="仿宋"/>
                <w:b/>
                <w:sz w:val="21"/>
                <w:szCs w:val="21"/>
              </w:rPr>
            </w:pPr>
            <w:r>
              <w:rPr>
                <w:rFonts w:hint="eastAsia" w:ascii="仿宋" w:hAnsi="仿宋" w:eastAsia="仿宋" w:cs="仿宋"/>
                <w:b/>
                <w:sz w:val="21"/>
                <w:szCs w:val="21"/>
              </w:rPr>
              <w:t>（名称+文号+条文内容）</w:t>
            </w:r>
          </w:p>
        </w:tc>
        <w:tc>
          <w:tcPr>
            <w:tcW w:w="2083" w:type="dxa"/>
            <w:gridSpan w:val="2"/>
            <w:tcBorders>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b/>
                <w:sz w:val="21"/>
                <w:szCs w:val="21"/>
              </w:rPr>
              <w:t>清理建议</w:t>
            </w:r>
          </w:p>
        </w:tc>
        <w:tc>
          <w:tcPr>
            <w:tcW w:w="1743" w:type="dxa"/>
            <w:gridSpan w:val="2"/>
            <w:tcBorders>
              <w:bottom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实施情况</w:t>
            </w:r>
          </w:p>
        </w:tc>
        <w:tc>
          <w:tcPr>
            <w:tcW w:w="1397" w:type="dxa"/>
            <w:gridSpan w:val="3"/>
            <w:tcBorders>
              <w:top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p>
          <w:p>
            <w:pPr>
              <w:jc w:val="center"/>
              <w:rPr>
                <w:rFonts w:hint="eastAsia" w:ascii="仿宋" w:hAnsi="仿宋" w:eastAsia="仿宋" w:cs="仿宋"/>
                <w:b/>
                <w:sz w:val="21"/>
                <w:szCs w:val="21"/>
              </w:rPr>
            </w:pPr>
            <w:r>
              <w:rPr>
                <w:rFonts w:hint="eastAsia" w:ascii="仿宋" w:hAnsi="仿宋" w:eastAsia="仿宋" w:cs="仿宋"/>
                <w:b/>
                <w:sz w:val="21"/>
                <w:szCs w:val="21"/>
              </w:rPr>
              <w:t>行使层级</w:t>
            </w:r>
          </w:p>
        </w:tc>
        <w:tc>
          <w:tcPr>
            <w:tcW w:w="911" w:type="dxa"/>
            <w:tcBorders>
              <w:top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取消后办理方式</w:t>
            </w:r>
          </w:p>
        </w:tc>
        <w:tc>
          <w:tcPr>
            <w:tcW w:w="978" w:type="dxa"/>
            <w:tcBorders>
              <w:top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修法建议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654" w:type="dxa"/>
            <w:vMerge w:val="continue"/>
            <w:vAlign w:val="center"/>
          </w:tcPr>
          <w:p>
            <w:pPr>
              <w:jc w:val="center"/>
              <w:rPr>
                <w:rFonts w:hint="eastAsia" w:ascii="仿宋" w:hAnsi="仿宋" w:eastAsia="仿宋" w:cs="仿宋"/>
                <w:b/>
                <w:sz w:val="21"/>
                <w:szCs w:val="21"/>
              </w:rPr>
            </w:pPr>
          </w:p>
        </w:tc>
        <w:tc>
          <w:tcPr>
            <w:tcW w:w="2264" w:type="dxa"/>
            <w:vMerge w:val="continue"/>
            <w:shd w:val="clear" w:color="auto" w:fill="auto"/>
            <w:vAlign w:val="center"/>
          </w:tcPr>
          <w:p>
            <w:pPr>
              <w:jc w:val="center"/>
              <w:rPr>
                <w:rFonts w:hint="eastAsia" w:ascii="仿宋" w:hAnsi="仿宋" w:eastAsia="仿宋" w:cs="仿宋"/>
                <w:b/>
                <w:sz w:val="21"/>
                <w:szCs w:val="21"/>
              </w:rPr>
            </w:pPr>
          </w:p>
        </w:tc>
        <w:tc>
          <w:tcPr>
            <w:tcW w:w="1744" w:type="dxa"/>
            <w:vMerge w:val="continue"/>
            <w:vAlign w:val="center"/>
          </w:tcPr>
          <w:p>
            <w:pPr>
              <w:jc w:val="center"/>
              <w:rPr>
                <w:rFonts w:hint="eastAsia" w:ascii="仿宋" w:hAnsi="仿宋" w:eastAsia="仿宋" w:cs="仿宋"/>
                <w:b/>
                <w:sz w:val="21"/>
                <w:szCs w:val="21"/>
              </w:rPr>
            </w:pPr>
          </w:p>
        </w:tc>
        <w:tc>
          <w:tcPr>
            <w:tcW w:w="2275" w:type="dxa"/>
            <w:gridSpan w:val="2"/>
            <w:vMerge w:val="continue"/>
            <w:vAlign w:val="center"/>
          </w:tcPr>
          <w:p>
            <w:pPr>
              <w:jc w:val="center"/>
              <w:rPr>
                <w:rFonts w:hint="eastAsia" w:ascii="仿宋" w:hAnsi="仿宋" w:eastAsia="仿宋" w:cs="仿宋"/>
                <w:b/>
                <w:sz w:val="21"/>
                <w:szCs w:val="21"/>
              </w:rPr>
            </w:pPr>
          </w:p>
        </w:tc>
        <w:tc>
          <w:tcPr>
            <w:tcW w:w="1036" w:type="dxa"/>
            <w:tcBorders>
              <w:top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取消及理由</w:t>
            </w:r>
          </w:p>
        </w:tc>
        <w:tc>
          <w:tcPr>
            <w:tcW w:w="1047" w:type="dxa"/>
            <w:tcBorders>
              <w:top w:val="single" w:color="auto" w:sz="4" w:space="0"/>
              <w:lef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保留及理由</w:t>
            </w:r>
          </w:p>
        </w:tc>
        <w:tc>
          <w:tcPr>
            <w:tcW w:w="871" w:type="dxa"/>
            <w:tcBorders>
              <w:top w:val="single" w:color="auto" w:sz="4" w:space="0"/>
              <w:bottom w:val="nil"/>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索要单位</w:t>
            </w:r>
          </w:p>
        </w:tc>
        <w:tc>
          <w:tcPr>
            <w:tcW w:w="872" w:type="dxa"/>
            <w:tcBorders>
              <w:top w:val="single" w:color="auto" w:sz="4" w:space="0"/>
              <w:left w:val="single" w:color="auto" w:sz="4" w:space="0"/>
              <w:bottom w:val="nil"/>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提供单位</w:t>
            </w:r>
          </w:p>
        </w:tc>
        <w:tc>
          <w:tcPr>
            <w:tcW w:w="525" w:type="dxa"/>
            <w:tcBorders>
              <w:top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省部级</w:t>
            </w:r>
          </w:p>
        </w:tc>
        <w:tc>
          <w:tcPr>
            <w:tcW w:w="524" w:type="dxa"/>
            <w:tcBorders>
              <w:top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市级</w:t>
            </w:r>
          </w:p>
        </w:tc>
        <w:tc>
          <w:tcPr>
            <w:tcW w:w="348" w:type="dxa"/>
            <w:tcBorders>
              <w:top w:val="single" w:color="auto" w:sz="4" w:space="0"/>
              <w:right w:val="single" w:color="auto" w:sz="4" w:space="0"/>
            </w:tcBorders>
            <w:shd w:val="clear" w:color="auto" w:fill="auto"/>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县乡级</w:t>
            </w:r>
          </w:p>
        </w:tc>
        <w:tc>
          <w:tcPr>
            <w:tcW w:w="911" w:type="dxa"/>
            <w:tcBorders>
              <w:right w:val="single" w:color="auto" w:sz="4" w:space="0"/>
            </w:tcBorders>
            <w:shd w:val="clear" w:color="auto" w:fill="auto"/>
            <w:vAlign w:val="center"/>
          </w:tcPr>
          <w:p>
            <w:pPr>
              <w:jc w:val="center"/>
              <w:rPr>
                <w:rFonts w:hint="eastAsia" w:ascii="仿宋" w:hAnsi="仿宋" w:eastAsia="仿宋" w:cs="仿宋"/>
                <w:b/>
                <w:sz w:val="21"/>
                <w:szCs w:val="21"/>
              </w:rPr>
            </w:pPr>
          </w:p>
        </w:tc>
        <w:tc>
          <w:tcPr>
            <w:tcW w:w="1010" w:type="dxa"/>
            <w:gridSpan w:val="2"/>
            <w:tcBorders>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26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年度财务会计报告审计报告</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纳税人在办理企业会计准则财务报表业务时，需要提供的自行产生或取得而不需要为办理税务事项专门另行从第三方取得的材料</w:t>
            </w:r>
          </w:p>
        </w:tc>
        <w:tc>
          <w:tcPr>
            <w:tcW w:w="2275"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《中华人民共和国税收征收管理法》</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第二十五条</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tc>
        <w:tc>
          <w:tcPr>
            <w:tcW w:w="1036" w:type="dxa"/>
            <w:tcBorders>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主管税务机关</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b w:val="0"/>
                <w:bCs/>
                <w:sz w:val="21"/>
                <w:szCs w:val="21"/>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取得补贴的相关证明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免征个人所得税</w:t>
            </w:r>
          </w:p>
        </w:tc>
        <w:tc>
          <w:tcPr>
            <w:tcW w:w="2275" w:type="dxa"/>
            <w:gridSpan w:val="2"/>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《中华人民共和国个人所得税法》第四条 下列各项个人所得，免纳个人所得税：八、依照我国有关法律规定应予免税的各国驻华使馆、领事馆的外交代表、领事官员和其他人员的所得；</w:t>
            </w:r>
          </w:p>
        </w:tc>
        <w:tc>
          <w:tcPr>
            <w:tcW w:w="1036" w:type="dxa"/>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由法律法规设定但不符合形势需要</w:t>
            </w:r>
          </w:p>
        </w:tc>
        <w:tc>
          <w:tcPr>
            <w:tcW w:w="1047" w:type="dxa"/>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用人单位</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政府部门内部和政府部门间信息共享（不再提交）</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身份证明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免征个人所得税</w:t>
            </w:r>
          </w:p>
        </w:tc>
        <w:tc>
          <w:tcPr>
            <w:tcW w:w="2275" w:type="dxa"/>
            <w:gridSpan w:val="2"/>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《中华人民共和国个人所得税法》第四条 下列各项个人所得，免纳个人所得税：八、依照我国有关法律规定应予免税的各国驻华使馆、领事馆的外交代表、领事官员和其他人员的所得；</w:t>
            </w:r>
          </w:p>
        </w:tc>
        <w:tc>
          <w:tcPr>
            <w:tcW w:w="1036" w:type="dxa"/>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由法律法规设定但不符合形势需要</w:t>
            </w:r>
          </w:p>
        </w:tc>
        <w:tc>
          <w:tcPr>
            <w:tcW w:w="1047" w:type="dxa"/>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公安部门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政府部门内部和政府部门间信息共享（不再提交）</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身份证明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免征个人所得税</w:t>
            </w:r>
          </w:p>
        </w:tc>
        <w:tc>
          <w:tcPr>
            <w:tcW w:w="2275" w:type="dxa"/>
            <w:gridSpan w:val="2"/>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《中华人民共和国个人所得税法》第四条 下列各项个人所得，免纳个人所得税：一、省级人民政府、国务院部委和中国人民解放军军以上单位，以及外国组织、国际组织颁发的科学、教育、技术、文化、卫生、体育、环境保护等方面的奖金；</w:t>
            </w:r>
          </w:p>
        </w:tc>
        <w:tc>
          <w:tcPr>
            <w:tcW w:w="1036" w:type="dxa"/>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由法律法规设定但不符合形势需要</w:t>
            </w:r>
          </w:p>
        </w:tc>
        <w:tc>
          <w:tcPr>
            <w:tcW w:w="1047" w:type="dxa"/>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公安部门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政府部门内部和政府部门间信息共享（不再提交）</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5"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身份证明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免征个人所得税</w:t>
            </w:r>
          </w:p>
        </w:tc>
        <w:tc>
          <w:tcPr>
            <w:tcW w:w="2275" w:type="dxa"/>
            <w:gridSpan w:val="2"/>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《中华人民共和国个人所得税法》第四条 下列各项个人所得，免纳个人所得税：五、保险赔款；</w:t>
            </w:r>
          </w:p>
        </w:tc>
        <w:tc>
          <w:tcPr>
            <w:tcW w:w="1036" w:type="dxa"/>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由法律法规设定但不符合形势需要</w:t>
            </w:r>
          </w:p>
        </w:tc>
        <w:tc>
          <w:tcPr>
            <w:tcW w:w="1047" w:type="dxa"/>
            <w:tcBorders>
              <w:lef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公安部门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书面告知承诺（改变办理方式）</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val="0"/>
                <w:bCs/>
                <w:sz w:val="21"/>
                <w:szCs w:val="21"/>
                <w:lang w:val="en-US" w:eastAsia="zh-CN"/>
              </w:rPr>
              <w:t>6</w:t>
            </w:r>
          </w:p>
        </w:tc>
        <w:tc>
          <w:tcPr>
            <w:tcW w:w="226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营业执照遗失公告</w:t>
            </w:r>
          </w:p>
        </w:tc>
        <w:tc>
          <w:tcPr>
            <w:tcW w:w="174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公司登记</w:t>
            </w:r>
          </w:p>
        </w:tc>
        <w:tc>
          <w:tcPr>
            <w:tcW w:w="2266"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《中华人民共和国公司登记管理条列》第六十四条</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取消《国务院关于取消一批行政许可等事项的决定》</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国发〔2018〕28号</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市场监督管理</w:t>
            </w:r>
            <w:bookmarkStart w:id="0" w:name="_GoBack"/>
            <w:bookmarkEnd w:id="0"/>
            <w:r>
              <w:rPr>
                <w:rFonts w:hint="eastAsia" w:ascii="仿宋" w:hAnsi="仿宋" w:eastAsia="仿宋" w:cs="仿宋"/>
                <w:i w:val="0"/>
                <w:color w:val="000000"/>
                <w:kern w:val="0"/>
                <w:sz w:val="21"/>
                <w:szCs w:val="21"/>
                <w:u w:val="none"/>
                <w:lang w:val="en-US" w:eastAsia="zh-CN" w:bidi="ar"/>
              </w:rPr>
              <w:t>局</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本企业</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取消该事项后，工商和市场监管部门采取以下管理措施加强事中事后监管：对营业执照遗失或损毁申请补领的，不再要求申请人委托媒体刊登作废声明，改为在审批部门官方网站免费发布公告。</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成交及入账证明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纳税人在办理居民企业（查账征收）企业所得税年度申报业务时，需要提供的自行出具表明情况属实的具有保证或说明性质的有关材料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存货计税成本的确定依据</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纳税人在办理居民企业（查账征收）企业所得税年度申报业务时，需要提供的自行出具表明情况属实的具有保证或说明性质的有关材料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法院驳回起诉的证明，或法院不予受理或不予支持证明，或仲裁机构裁决免除债务人责任的文书</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法院或破产清算管理人出具的未完成清算证明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符合法律规定的其他证据</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法院裁定证明和资产清偿证明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各类资产作价依据</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行政机关的公文</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纳税人在办理居民企业（查账征收）企业所得税年度申报业务时，需要提供的自行产生或取得而不需要为办理税务事项专门另行从第三方取得的材料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管理部门年检证明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纳税人申报居民企业所得税年度申报表时涉及相关申报表的说明证明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w:t>
            </w:r>
          </w:p>
        </w:tc>
        <w:tc>
          <w:tcPr>
            <w:tcW w:w="1045" w:type="dxa"/>
            <w:gridSpan w:val="2"/>
            <w:tcBorders>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取消，由法律法规设定但可通过其他方式替代</w:t>
            </w:r>
          </w:p>
        </w:tc>
        <w:tc>
          <w:tcPr>
            <w:tcW w:w="1047"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备案管理部门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创业投资企业投资运作情况证明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纳税人申报居民企业所得税年度申报表时涉及相关申报表的说明证明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取消，由法律法规设定但可通过其他方式替代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合同凭证</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高新技术企业证明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纳税人申报居民企业所得税年度申报表时涉及相关申报表的说明证明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取消，由法律法规设定但可通过其他方式替代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备案管理部门省、自治区、直辖市和计划单列市高新技术企业认定管理机构</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验资报告</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纳税人申报居民企业所得税年度申报表时涉及相关申报表的说明证明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取消，由法律法规设定但可通过其他方式替代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工商部门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企业改变法律形式的工商部门或其他政府部门的批准证明</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纳税人申报居民企业清算所得的证明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取消，由法律法规设定但可通过其他方式替代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工商部门或其他政府部门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审计报告</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纳税人进行居民企业所得税年度申报时中介机构出具的鉴定证明</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企业所得税法第五十四条规定的期限，向税务机关报送预缴企业所得税纳税申报表、年度企业所得税纳税申报表、财务会计报告和税务机关规定应当报送的其他有关资料。</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取消，没有法律法规规定</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单位性质证明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中华人民共和国契税暂行条例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14"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文书证明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中华人民共和国契税暂行条例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证照证明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纳税人在税收减免备案、时应提供合同书立双方的单位性质或个人身份证明原件</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中华人民共和国印花税暂行条例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合同凭证</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会计资料</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纳税人在税收减免备案时应提供已缴纳印花税的凭证已贴花的证明材料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中华人民共和国印花税暂行条例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合同凭证</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缴纳凭证</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纳税人在税收减免备案时应提供副本或抄本证明材料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中华人民共和国印花税暂行条例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合同凭证</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5"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226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损失证明</w:t>
            </w:r>
          </w:p>
        </w:tc>
        <w:tc>
          <w:tcPr>
            <w:tcW w:w="1744"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纳税人在税收减免备案时应提供开采或生产应税产品过程中，因意外事故或自然灾害等原因遭受重大损失的证明材料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中华人民共和国资源税暂行条例</w:t>
            </w:r>
          </w:p>
        </w:tc>
        <w:tc>
          <w:tcPr>
            <w:tcW w:w="1045" w:type="dxa"/>
            <w:gridSpan w:val="2"/>
            <w:tcBorders>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取消，由法律法规设定但不符合形势需要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省税务局</w:t>
            </w:r>
          </w:p>
        </w:tc>
        <w:tc>
          <w:tcPr>
            <w:tcW w:w="872" w:type="dxa"/>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4" w:hRule="atLeast"/>
        </w:trPr>
        <w:tc>
          <w:tcPr>
            <w:tcW w:w="654" w:type="dxa"/>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val="0"/>
                <w:bCs/>
                <w:sz w:val="21"/>
                <w:szCs w:val="21"/>
                <w:lang w:val="en-US" w:eastAsia="zh-CN"/>
              </w:rPr>
              <w:t>27</w:t>
            </w:r>
          </w:p>
        </w:tc>
        <w:tc>
          <w:tcPr>
            <w:tcW w:w="2264" w:type="dxa"/>
            <w:vAlign w:val="center"/>
          </w:tcPr>
          <w:p>
            <w:pPr>
              <w:keepNext w:val="0"/>
              <w:keepLines w:val="0"/>
              <w:widowControl/>
              <w:suppressLineNumbers w:val="0"/>
              <w:jc w:val="left"/>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相关部门出具的抵押登记证明</w:t>
            </w:r>
          </w:p>
        </w:tc>
        <w:tc>
          <w:tcPr>
            <w:tcW w:w="1744" w:type="dxa"/>
            <w:vAlign w:val="center"/>
          </w:tcPr>
          <w:p>
            <w:pPr>
              <w:keepNext w:val="0"/>
              <w:keepLines w:val="0"/>
              <w:widowControl/>
              <w:suppressLineNumbers w:val="0"/>
              <w:jc w:val="left"/>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对抵押财产登记无所有权的确认</w:t>
            </w:r>
          </w:p>
        </w:tc>
        <w:tc>
          <w:tcPr>
            <w:tcW w:w="2266"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《纳税担保试行办法》国家税务总局令第11号第二十条  纳税抵押财产应当办理抵押物登记。纳税抵押自抵押物登记之日起生效。纳税人应向税务机关提供由以下部门出具的抵押登记的证明及其复印件（以下简称证明材料）（一）以城市房地产或者乡（镇）、村企业的厂房等建筑物抵押的，提供县级以上地方人民政府规定部门出具的证明材料；    （二）以船舶、车辆抵押的，提供运输工具的登记部门出具的证明材料；</w:t>
            </w:r>
          </w:p>
          <w:p>
            <w:pPr>
              <w:keepNext w:val="0"/>
              <w:keepLines w:val="0"/>
              <w:widowControl/>
              <w:suppressLineNumbers w:val="0"/>
              <w:jc w:val="left"/>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 xml:space="preserve">    （三）以企业的设备和其他动产抵押的，提供财产所在地的工商行政管理部门出具的证明材料或者纳税人所在地的公证部门出具的证明材料。</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县税务局</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县级以上地方人民政府、运输工具的登记部门、工商行政管理部门、纳税人所在地的公证部门</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val="0"/>
                <w:bCs/>
                <w:sz w:val="21"/>
                <w:szCs w:val="21"/>
                <w:lang w:val="en-US" w:eastAsia="zh-CN"/>
              </w:rPr>
              <w:t>28</w:t>
            </w:r>
          </w:p>
        </w:tc>
        <w:tc>
          <w:tcPr>
            <w:tcW w:w="226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涉税资料证明</w:t>
            </w:r>
          </w:p>
        </w:tc>
        <w:tc>
          <w:tcPr>
            <w:tcW w:w="174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转制科研机构的科研开发自用土地免土地税，需提供依据的相关法律、法规规定要求报送的资料</w:t>
            </w:r>
          </w:p>
        </w:tc>
        <w:tc>
          <w:tcPr>
            <w:tcW w:w="2266"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税总办发〔2015〕229号</w:t>
            </w:r>
          </w:p>
        </w:tc>
        <w:tc>
          <w:tcPr>
            <w:tcW w:w="1045" w:type="dxa"/>
            <w:gridSpan w:val="2"/>
            <w:tcBorders>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由法律法规设定但不符合形势需要</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纳税人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val="0"/>
                <w:bCs/>
                <w:sz w:val="21"/>
                <w:szCs w:val="21"/>
                <w:lang w:val="en-US" w:eastAsia="zh-CN"/>
              </w:rPr>
              <w:t>29</w:t>
            </w:r>
          </w:p>
        </w:tc>
        <w:tc>
          <w:tcPr>
            <w:tcW w:w="226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工商营业执照、执业证件复印件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税务登记证</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组织机构代码证书副本复印件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居民身份证等</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相关部门证明文件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商务部门批复设立证书复印件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纳税人在办理单位纳税人登记业务时，需要提供的自行产生或取得而不需要为办理税务事项专门另行从第三方取得的材料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主动核查</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工商营业执照、执业证件复印件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纳税人在办理个体经营登记业务时，需要提供的行政相对人已有法定证照、权属证明、许可证件等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扣缴税款登记证副本</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纳税人在办理文化事业建设费缴费信息报告业务时，需要提供的行政相对人已有法定证照、权属证明、许可证件等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21"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已扣缴税款凭证复印件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纳税人在办理注销扣缴税款登记业务时，需要提供的自行出具表明情况属实的具有保证或说明性质的有关材料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tcBorders>
              <w:top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社会保险登记证件原件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纳税人在办理单位社会保险费缴费登记业务时，需要提供的行政相对人已有法定证照、权属证明、许可证件等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社会保险登记证件复印件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纳税人在办理单位社会保险费缴费登记业务时，需要提供的行政相对人已有法定证照、权属证明、许可证件等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居民户口簿</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纳税人在办理灵活就业人员社会保险费缴费登记业务时，需要提供的行政相对人已有法定证照、权属证明、许可证件等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kern w:val="2"/>
                <w:sz w:val="21"/>
                <w:szCs w:val="21"/>
                <w:lang w:val="en-US" w:eastAsia="zh-CN" w:bidi="ar-SA"/>
              </w:rPr>
            </w:pPr>
          </w:p>
          <w:p>
            <w:pPr>
              <w:ind w:firstLine="297" w:firstLineChars="0"/>
              <w:jc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增量房房源信息表</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纳税人在办理房源信息报告业务时，需要提供的自行出具表明情况属实的具有保证或说明性质的有关材料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完税凭证</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纳税人在办理注销建筑业项目报告业务时，需要提供的自行出具表明情况属实的具有保证或说明性质的有关材料</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43</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《机动车登记证书》《机动车行驶证》复印件</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纳税人在办理车辆购置税完税证明补发业务时，需要提供的行政相对人已有法定证照、权属证明、许可证件等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2" w:type="dxa"/>
          <w:trHeight w:val="636" w:hRule="atLeast"/>
        </w:trPr>
        <w:tc>
          <w:tcPr>
            <w:tcW w:w="654"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44</w:t>
            </w:r>
          </w:p>
        </w:tc>
        <w:tc>
          <w:tcPr>
            <w:tcW w:w="226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工商行政管理部门核发的加载法人和其他组织统一社会信用代码的营业执照</w:t>
            </w:r>
          </w:p>
        </w:tc>
        <w:tc>
          <w:tcPr>
            <w:tcW w:w="174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纳税人在办理增值税一般纳税人登记业务时，需要提供的行政相对人已有法定证照、权属证明、许可证件等</w:t>
            </w:r>
          </w:p>
        </w:tc>
        <w:tc>
          <w:tcPr>
            <w:tcW w:w="2266"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国家税务总局办公厅关于印发《全国税务机关纳税服务规范》2.3版更新事项的通知 税总办发〔2015〕224号</w:t>
            </w:r>
          </w:p>
        </w:tc>
        <w:tc>
          <w:tcPr>
            <w:tcW w:w="1045" w:type="dxa"/>
            <w:gridSpan w:val="2"/>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由法律法规设定但可通过其他方式替代</w:t>
            </w:r>
          </w:p>
        </w:tc>
        <w:tc>
          <w:tcPr>
            <w:tcW w:w="1047" w:type="dxa"/>
            <w:tcBorders>
              <w:left w:val="single" w:color="auto" w:sz="4" w:space="0"/>
            </w:tcBorders>
            <w:vAlign w:val="center"/>
          </w:tcPr>
          <w:p>
            <w:pPr>
              <w:jc w:val="center"/>
              <w:rPr>
                <w:rFonts w:hint="eastAsia" w:ascii="仿宋" w:hAnsi="仿宋" w:eastAsia="仿宋" w:cs="仿宋"/>
                <w:sz w:val="21"/>
                <w:szCs w:val="21"/>
              </w:rPr>
            </w:pPr>
          </w:p>
        </w:tc>
        <w:tc>
          <w:tcPr>
            <w:tcW w:w="871"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主管税务机关</w:t>
            </w:r>
          </w:p>
        </w:tc>
        <w:tc>
          <w:tcPr>
            <w:tcW w:w="872" w:type="dxa"/>
            <w:vAlign w:val="center"/>
          </w:tcPr>
          <w:p>
            <w:pPr>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行政相对人</w:t>
            </w:r>
          </w:p>
        </w:tc>
        <w:tc>
          <w:tcPr>
            <w:tcW w:w="1397" w:type="dxa"/>
            <w:gridSpan w:val="3"/>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lang w:eastAsia="zh-CN"/>
              </w:rPr>
              <w:t>县乡级</w:t>
            </w:r>
          </w:p>
        </w:tc>
        <w:tc>
          <w:tcPr>
            <w:tcW w:w="91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政府部门内部和政府部门间信息共享</w:t>
            </w:r>
          </w:p>
        </w:tc>
        <w:tc>
          <w:tcPr>
            <w:tcW w:w="978"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r>
    </w:tbl>
    <w:p>
      <w:pPr>
        <w:spacing w:line="600" w:lineRule="exact"/>
        <w:jc w:val="left"/>
        <w:rPr>
          <w:rFonts w:ascii="宋体" w:hAnsi="宋体" w:eastAsia="宋体" w:cs="Times New Roman"/>
          <w:sz w:val="28"/>
          <w:szCs w:val="28"/>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1F3E"/>
    <w:rsid w:val="00024764"/>
    <w:rsid w:val="00040E9C"/>
    <w:rsid w:val="0018722C"/>
    <w:rsid w:val="001A33A2"/>
    <w:rsid w:val="001D6045"/>
    <w:rsid w:val="001E3ADE"/>
    <w:rsid w:val="00260CB4"/>
    <w:rsid w:val="003115EA"/>
    <w:rsid w:val="00434770"/>
    <w:rsid w:val="00467B06"/>
    <w:rsid w:val="004E29E0"/>
    <w:rsid w:val="00693D76"/>
    <w:rsid w:val="006A4AD1"/>
    <w:rsid w:val="007134D5"/>
    <w:rsid w:val="007B0EF6"/>
    <w:rsid w:val="007B680E"/>
    <w:rsid w:val="008E426C"/>
    <w:rsid w:val="00934F5F"/>
    <w:rsid w:val="009554E5"/>
    <w:rsid w:val="009C4D70"/>
    <w:rsid w:val="00A1517B"/>
    <w:rsid w:val="00A16A3E"/>
    <w:rsid w:val="00A26CD4"/>
    <w:rsid w:val="00AD7D2C"/>
    <w:rsid w:val="00AE47F4"/>
    <w:rsid w:val="00BF26B3"/>
    <w:rsid w:val="00C35B9E"/>
    <w:rsid w:val="00C414BA"/>
    <w:rsid w:val="00CB201B"/>
    <w:rsid w:val="00CE1054"/>
    <w:rsid w:val="00D0161F"/>
    <w:rsid w:val="00D31F3E"/>
    <w:rsid w:val="00D322C9"/>
    <w:rsid w:val="00D85964"/>
    <w:rsid w:val="00E34FB0"/>
    <w:rsid w:val="00ED32F2"/>
    <w:rsid w:val="00F0126A"/>
    <w:rsid w:val="00F87475"/>
    <w:rsid w:val="00FA6A67"/>
    <w:rsid w:val="01232BEC"/>
    <w:rsid w:val="034D1010"/>
    <w:rsid w:val="04E277BB"/>
    <w:rsid w:val="05B05879"/>
    <w:rsid w:val="07407BD1"/>
    <w:rsid w:val="0833465B"/>
    <w:rsid w:val="08B51544"/>
    <w:rsid w:val="098560C4"/>
    <w:rsid w:val="0B337669"/>
    <w:rsid w:val="0B6809AA"/>
    <w:rsid w:val="0B8A6C3D"/>
    <w:rsid w:val="0BD2295F"/>
    <w:rsid w:val="0E024B3C"/>
    <w:rsid w:val="0E753D84"/>
    <w:rsid w:val="106E5B5A"/>
    <w:rsid w:val="12571951"/>
    <w:rsid w:val="136D56CF"/>
    <w:rsid w:val="13BA5C66"/>
    <w:rsid w:val="1534300E"/>
    <w:rsid w:val="167B4B7E"/>
    <w:rsid w:val="17680234"/>
    <w:rsid w:val="192936D6"/>
    <w:rsid w:val="1A1E47A4"/>
    <w:rsid w:val="1C81408F"/>
    <w:rsid w:val="1C9C7E38"/>
    <w:rsid w:val="1CB42983"/>
    <w:rsid w:val="1E0A41DE"/>
    <w:rsid w:val="1E41107B"/>
    <w:rsid w:val="20D431F0"/>
    <w:rsid w:val="21A57FBB"/>
    <w:rsid w:val="229C0F31"/>
    <w:rsid w:val="22C611B9"/>
    <w:rsid w:val="233E0020"/>
    <w:rsid w:val="25413436"/>
    <w:rsid w:val="27FB38F2"/>
    <w:rsid w:val="29227C29"/>
    <w:rsid w:val="2980245D"/>
    <w:rsid w:val="2A601013"/>
    <w:rsid w:val="2AA22A58"/>
    <w:rsid w:val="2AA405B6"/>
    <w:rsid w:val="2B5E2153"/>
    <w:rsid w:val="2BB36ED5"/>
    <w:rsid w:val="2C5A7B0A"/>
    <w:rsid w:val="2C802736"/>
    <w:rsid w:val="2CE524E9"/>
    <w:rsid w:val="2E7248FF"/>
    <w:rsid w:val="30CE6F85"/>
    <w:rsid w:val="30E21A5A"/>
    <w:rsid w:val="31DE464E"/>
    <w:rsid w:val="323677DD"/>
    <w:rsid w:val="34716C73"/>
    <w:rsid w:val="352A3207"/>
    <w:rsid w:val="36F57044"/>
    <w:rsid w:val="38DA4513"/>
    <w:rsid w:val="39B77D54"/>
    <w:rsid w:val="3A886E54"/>
    <w:rsid w:val="3AAB1673"/>
    <w:rsid w:val="3BEA0783"/>
    <w:rsid w:val="3C3A03DB"/>
    <w:rsid w:val="3C7E3903"/>
    <w:rsid w:val="3C882204"/>
    <w:rsid w:val="3D4B3521"/>
    <w:rsid w:val="3DF806F0"/>
    <w:rsid w:val="3E184888"/>
    <w:rsid w:val="3F0D7C72"/>
    <w:rsid w:val="3FDA3F3D"/>
    <w:rsid w:val="406A23B0"/>
    <w:rsid w:val="40F674F6"/>
    <w:rsid w:val="41136198"/>
    <w:rsid w:val="41217C91"/>
    <w:rsid w:val="4188503C"/>
    <w:rsid w:val="4196741E"/>
    <w:rsid w:val="41B175C3"/>
    <w:rsid w:val="429046F1"/>
    <w:rsid w:val="42EA6C87"/>
    <w:rsid w:val="44190CE7"/>
    <w:rsid w:val="447A3BB9"/>
    <w:rsid w:val="475A4608"/>
    <w:rsid w:val="47E90E7D"/>
    <w:rsid w:val="497F0812"/>
    <w:rsid w:val="49FA10B7"/>
    <w:rsid w:val="4A020FCB"/>
    <w:rsid w:val="4A4205E7"/>
    <w:rsid w:val="4A9F5781"/>
    <w:rsid w:val="4C0111DC"/>
    <w:rsid w:val="4C3377D6"/>
    <w:rsid w:val="4C595C13"/>
    <w:rsid w:val="4CD12951"/>
    <w:rsid w:val="50927F15"/>
    <w:rsid w:val="5178608E"/>
    <w:rsid w:val="53076CAD"/>
    <w:rsid w:val="541A0B74"/>
    <w:rsid w:val="544A47DD"/>
    <w:rsid w:val="55F87576"/>
    <w:rsid w:val="5641052C"/>
    <w:rsid w:val="56514CC7"/>
    <w:rsid w:val="576170D3"/>
    <w:rsid w:val="57EA34C9"/>
    <w:rsid w:val="57EF0FBE"/>
    <w:rsid w:val="585B6B16"/>
    <w:rsid w:val="590E204D"/>
    <w:rsid w:val="59EB0104"/>
    <w:rsid w:val="5A6E1607"/>
    <w:rsid w:val="5B2F4EC0"/>
    <w:rsid w:val="5B61551A"/>
    <w:rsid w:val="5DE33876"/>
    <w:rsid w:val="5F507726"/>
    <w:rsid w:val="61C3573D"/>
    <w:rsid w:val="634070B4"/>
    <w:rsid w:val="636C2068"/>
    <w:rsid w:val="663C6D78"/>
    <w:rsid w:val="664A5325"/>
    <w:rsid w:val="669A3DE9"/>
    <w:rsid w:val="67E6777D"/>
    <w:rsid w:val="684A5A26"/>
    <w:rsid w:val="684D7861"/>
    <w:rsid w:val="68A95125"/>
    <w:rsid w:val="69E62219"/>
    <w:rsid w:val="6C275403"/>
    <w:rsid w:val="6CA16E11"/>
    <w:rsid w:val="6EE51E5D"/>
    <w:rsid w:val="73384CFA"/>
    <w:rsid w:val="7348440E"/>
    <w:rsid w:val="73C13CA9"/>
    <w:rsid w:val="748D22FD"/>
    <w:rsid w:val="74DE4B16"/>
    <w:rsid w:val="778E5B27"/>
    <w:rsid w:val="77900212"/>
    <w:rsid w:val="79E75BE4"/>
    <w:rsid w:val="7B9C7B9B"/>
    <w:rsid w:val="7BC9744B"/>
    <w:rsid w:val="7C3557A7"/>
    <w:rsid w:val="7D284FC7"/>
    <w:rsid w:val="7DD83AFA"/>
    <w:rsid w:val="7E0F6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0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467</Words>
  <Characters>2666</Characters>
  <Lines>22</Lines>
  <Paragraphs>6</Paragraphs>
  <TotalTime>17</TotalTime>
  <ScaleCrop>false</ScaleCrop>
  <LinksUpToDate>false</LinksUpToDate>
  <CharactersWithSpaces>3127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2018-07-25T08:36:00Z</dcterms:created>
  <dc:creator>dell</dc:creator>
  <cp:lastModifiedBy>~小湿兄~</cp:lastModifiedBy>
  <cp:lastPrinted>2018-08-20T09:58:00Z</cp:lastPrinted>
  <dcterms:modified xsi:type="dcterms:W3CDTF">2019-11-15T01:35:20Z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